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54" w:rsidRDefault="00035854" w:rsidP="0003585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 w:rsidRPr="00867D20">
        <w:rPr>
          <w:rFonts w:ascii="Helvetica-Bold" w:hAnsi="Helvetica-Bold" w:cs="Helvetica-Bold"/>
          <w:b/>
          <w:bCs/>
          <w:noProof/>
          <w:sz w:val="32"/>
          <w:szCs w:val="32"/>
          <w:lang w:eastAsia="en-GB"/>
        </w:rPr>
        <w:drawing>
          <wp:inline distT="0" distB="0" distL="0" distR="0">
            <wp:extent cx="1241674" cy="1471612"/>
            <wp:effectExtent l="19050" t="0" r="0" b="0"/>
            <wp:docPr id="3" name="Picture 1" descr="P.M.A Trad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.M.A Trading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6" cy="14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54" w:rsidRDefault="00035854" w:rsidP="00035854">
      <w:pPr>
        <w:jc w:val="center"/>
        <w:rPr>
          <w:b/>
          <w:color w:val="215868" w:themeColor="accent5" w:themeShade="80"/>
          <w:sz w:val="72"/>
          <w:szCs w:val="72"/>
        </w:rPr>
      </w:pPr>
      <w:r w:rsidRPr="000E0D4D">
        <w:rPr>
          <w:b/>
          <w:color w:val="215868" w:themeColor="accent5" w:themeShade="80"/>
          <w:sz w:val="72"/>
          <w:szCs w:val="72"/>
        </w:rPr>
        <w:t>THERMAL BREAK</w:t>
      </w:r>
      <w:r>
        <w:rPr>
          <w:b/>
          <w:color w:val="215868" w:themeColor="accent5" w:themeShade="80"/>
          <w:sz w:val="72"/>
          <w:szCs w:val="72"/>
        </w:rPr>
        <w:t>S</w:t>
      </w:r>
    </w:p>
    <w:p w:rsidR="00035854" w:rsidRDefault="00035854" w:rsidP="00035854">
      <w:pPr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Product: PMA300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Thermal Break Material Specification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</w:rPr>
        <w:t>(Typical Properties)</w:t>
      </w:r>
    </w:p>
    <w:p w:rsidR="00035854" w:rsidRDefault="00035854">
      <w:r>
        <w:rPr>
          <w:noProof/>
          <w:lang w:eastAsia="en-GB"/>
        </w:rPr>
        <w:drawing>
          <wp:inline distT="0" distB="0" distL="0" distR="0">
            <wp:extent cx="5731510" cy="1742446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4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54" w:rsidRDefault="00035854">
      <w:r>
        <w:rPr>
          <w:noProof/>
          <w:lang w:eastAsia="en-GB"/>
        </w:rPr>
        <w:drawing>
          <wp:inline distT="0" distB="0" distL="0" distR="0">
            <wp:extent cx="5731510" cy="1742446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4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proofErr w:type="spellStart"/>
      <w:r>
        <w:rPr>
          <w:rFonts w:ascii="TT195t00" w:hAnsi="TT195t00" w:cs="TT195t00"/>
          <w:sz w:val="18"/>
          <w:szCs w:val="18"/>
        </w:rPr>
        <w:t>RoHS</w:t>
      </w:r>
      <w:proofErr w:type="spellEnd"/>
      <w:r>
        <w:rPr>
          <w:rFonts w:ascii="TT195t00" w:hAnsi="TT195t00" w:cs="TT195t00"/>
          <w:sz w:val="18"/>
          <w:szCs w:val="18"/>
        </w:rPr>
        <w:t xml:space="preserve"> Directive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95t00" w:hAnsi="TT195t00" w:cs="TT195t00"/>
          <w:sz w:val="18"/>
          <w:szCs w:val="18"/>
        </w:rPr>
        <w:t>Hazardous products listed in the EU-directive 2011/65/EU (ROHS-directive), §4 section 1, are not used as ingredients in this material.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95t00" w:hAnsi="TT195t00" w:cs="TT195t00"/>
          <w:sz w:val="18"/>
          <w:szCs w:val="18"/>
        </w:rPr>
        <w:t>Benefits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r>
        <w:rPr>
          <w:rFonts w:ascii="TT195t00" w:hAnsi="TT195t00" w:cs="TT195t00"/>
          <w:sz w:val="18"/>
          <w:szCs w:val="18"/>
        </w:rPr>
        <w:t>Asbestos free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r>
        <w:rPr>
          <w:rFonts w:ascii="TT195t00" w:hAnsi="TT195t00" w:cs="TT195t00"/>
          <w:sz w:val="18"/>
          <w:szCs w:val="18"/>
        </w:rPr>
        <w:t>Low heat conductivity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proofErr w:type="gramStart"/>
      <w:r>
        <w:rPr>
          <w:rFonts w:ascii="TT195t00" w:hAnsi="TT195t00" w:cs="TT195t00"/>
          <w:sz w:val="18"/>
          <w:szCs w:val="18"/>
        </w:rPr>
        <w:t>Excellent</w:t>
      </w:r>
      <w:proofErr w:type="gramEnd"/>
      <w:r>
        <w:rPr>
          <w:rFonts w:ascii="TT195t00" w:hAnsi="TT195t00" w:cs="TT195t00"/>
          <w:sz w:val="18"/>
          <w:szCs w:val="18"/>
        </w:rPr>
        <w:t xml:space="preserve"> tolerances with respect to parallelism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r>
        <w:rPr>
          <w:rFonts w:ascii="TT195t00" w:hAnsi="TT195t00" w:cs="TT195t00"/>
          <w:sz w:val="18"/>
          <w:szCs w:val="18"/>
        </w:rPr>
        <w:t>Long life expectancy &gt; 50 years (dependent on operating conditions)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r>
        <w:rPr>
          <w:rFonts w:ascii="TT195t00" w:hAnsi="TT195t00" w:cs="TT195t00"/>
          <w:sz w:val="18"/>
          <w:szCs w:val="18"/>
        </w:rPr>
        <w:t>Low water absorption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r>
        <w:rPr>
          <w:rFonts w:ascii="TT195t00" w:hAnsi="TT195t00" w:cs="TT195t00"/>
          <w:sz w:val="18"/>
          <w:szCs w:val="18"/>
        </w:rPr>
        <w:t>Good hydrocarbon stability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r>
        <w:rPr>
          <w:rFonts w:ascii="TT195t00" w:hAnsi="TT195t00" w:cs="TT195t00"/>
          <w:sz w:val="18"/>
          <w:szCs w:val="18"/>
        </w:rPr>
        <w:t>Good chemical stability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proofErr w:type="gramStart"/>
      <w:r>
        <w:rPr>
          <w:rFonts w:ascii="TT195t00" w:hAnsi="TT195t00" w:cs="TT195t00"/>
          <w:sz w:val="18"/>
          <w:szCs w:val="18"/>
        </w:rPr>
        <w:t>Excellent</w:t>
      </w:r>
      <w:proofErr w:type="gramEnd"/>
      <w:r>
        <w:rPr>
          <w:rFonts w:ascii="TT195t00" w:hAnsi="TT195t00" w:cs="TT195t00"/>
          <w:sz w:val="18"/>
          <w:szCs w:val="18"/>
        </w:rPr>
        <w:t xml:space="preserve"> mechanical durability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r>
        <w:rPr>
          <w:rFonts w:ascii="TT195t00" w:hAnsi="TT195t00" w:cs="TT195t00"/>
          <w:sz w:val="18"/>
          <w:szCs w:val="18"/>
        </w:rPr>
        <w:t>Very good electrical properties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0Ft00" w:hAnsi="TT10Ft00" w:cs="TT10Ft00"/>
          <w:sz w:val="18"/>
          <w:szCs w:val="18"/>
        </w:rPr>
        <w:t xml:space="preserve">_ </w:t>
      </w:r>
      <w:r>
        <w:rPr>
          <w:rFonts w:ascii="TT195t00" w:hAnsi="TT195t00" w:cs="TT195t00"/>
          <w:sz w:val="18"/>
          <w:szCs w:val="18"/>
        </w:rPr>
        <w:t>UL 94-V0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6"/>
          <w:szCs w:val="16"/>
        </w:rPr>
      </w:pPr>
      <w:r>
        <w:rPr>
          <w:rFonts w:ascii="TT195t00" w:hAnsi="TT195t00" w:cs="TT195t00"/>
          <w:sz w:val="16"/>
          <w:szCs w:val="16"/>
        </w:rPr>
        <w:t>*Manufacturers’ figures</w:t>
      </w:r>
    </w:p>
    <w:p w:rsidR="00035854" w:rsidRDefault="00035854" w:rsidP="00035854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95t00" w:hAnsi="TT195t00" w:cs="TT195t00"/>
          <w:sz w:val="18"/>
          <w:szCs w:val="18"/>
        </w:rPr>
        <w:t>Disclaimer: These figures are typical values for the material and do not represent a product specification. Properties will vary</w:t>
      </w:r>
    </w:p>
    <w:p w:rsidR="00035854" w:rsidRPr="00035854" w:rsidRDefault="00035854" w:rsidP="00035854">
      <w:pPr>
        <w:rPr>
          <w:rFonts w:ascii="TT195t00" w:hAnsi="TT195t00" w:cs="TT195t00"/>
          <w:sz w:val="18"/>
          <w:szCs w:val="18"/>
        </w:rPr>
      </w:pPr>
      <w:proofErr w:type="gramStart"/>
      <w:r>
        <w:rPr>
          <w:rFonts w:ascii="TT195t00" w:hAnsi="TT195t00" w:cs="TT195t00"/>
          <w:sz w:val="18"/>
          <w:szCs w:val="18"/>
        </w:rPr>
        <w:t>depending</w:t>
      </w:r>
      <w:proofErr w:type="gramEnd"/>
      <w:r>
        <w:rPr>
          <w:rFonts w:ascii="TT195t00" w:hAnsi="TT195t00" w:cs="TT195t00"/>
          <w:sz w:val="18"/>
          <w:szCs w:val="18"/>
        </w:rPr>
        <w:t xml:space="preserve"> on source of raw material, method of processing, physical form of product, direction of measurement etc.  </w:t>
      </w:r>
      <w:r>
        <w:rPr>
          <w:rFonts w:ascii="TT195t00" w:hAnsi="TT195t00" w:cs="TT195t00"/>
          <w:sz w:val="18"/>
          <w:szCs w:val="18"/>
        </w:rPr>
        <w:tab/>
      </w:r>
      <w:r>
        <w:rPr>
          <w:rFonts w:ascii="TT195t00" w:hAnsi="TT195t00" w:cs="TT195t00"/>
          <w:sz w:val="18"/>
          <w:szCs w:val="18"/>
        </w:rPr>
        <w:tab/>
      </w:r>
      <w:r>
        <w:rPr>
          <w:rFonts w:ascii="TT195t00" w:hAnsi="TT195t00" w:cs="TT195t00"/>
          <w:sz w:val="18"/>
          <w:szCs w:val="18"/>
        </w:rPr>
        <w:tab/>
      </w:r>
      <w:r>
        <w:rPr>
          <w:rFonts w:ascii="TT195t00" w:hAnsi="TT195t00" w:cs="TT195t00"/>
          <w:sz w:val="18"/>
          <w:szCs w:val="18"/>
        </w:rPr>
        <w:tab/>
      </w:r>
      <w:r>
        <w:rPr>
          <w:rFonts w:ascii="TT195t00" w:hAnsi="TT195t00" w:cs="TT195t00"/>
          <w:sz w:val="18"/>
          <w:szCs w:val="18"/>
        </w:rPr>
        <w:tab/>
      </w:r>
      <w:r>
        <w:rPr>
          <w:rFonts w:ascii="TT195t00" w:hAnsi="TT195t00" w:cs="TT195t00"/>
          <w:sz w:val="18"/>
          <w:szCs w:val="18"/>
        </w:rPr>
        <w:tab/>
      </w:r>
      <w:r>
        <w:rPr>
          <w:rFonts w:ascii="TT195t00" w:hAnsi="TT195t00" w:cs="TT195t00"/>
          <w:sz w:val="18"/>
          <w:szCs w:val="18"/>
        </w:rPr>
        <w:tab/>
      </w:r>
    </w:p>
    <w:sectPr w:rsidR="00035854" w:rsidRPr="00035854" w:rsidSect="00035854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9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35854"/>
    <w:rsid w:val="00035854"/>
    <w:rsid w:val="009D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7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1</cp:revision>
  <cp:lastPrinted>2018-09-12T11:19:00Z</cp:lastPrinted>
  <dcterms:created xsi:type="dcterms:W3CDTF">2018-09-12T11:15:00Z</dcterms:created>
  <dcterms:modified xsi:type="dcterms:W3CDTF">2018-09-12T11:21:00Z</dcterms:modified>
</cp:coreProperties>
</file>